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832EB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17E" w:rsidRDefault="00C31C95" w:rsidP="000B468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Столбики</w:t>
            </w:r>
          </w:p>
          <w:p w:rsidR="00E63DAC" w:rsidRDefault="00666A3E" w:rsidP="00E63DAC">
            <w:pPr>
              <w:snapToGrid w:val="0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</w:t>
            </w:r>
            <w:r w:rsidR="00C31C95">
              <w:rPr>
                <w:b/>
                <w:bCs/>
                <w:sz w:val="22"/>
                <w:szCs w:val="22"/>
              </w:rPr>
              <w:t xml:space="preserve">МФ </w:t>
            </w:r>
            <w:r w:rsidR="00ED7689">
              <w:rPr>
                <w:b/>
                <w:bCs/>
                <w:sz w:val="22"/>
                <w:szCs w:val="22"/>
              </w:rPr>
              <w:t xml:space="preserve">1.01, </w:t>
            </w:r>
            <w:r w:rsidR="00C31C95">
              <w:rPr>
                <w:b/>
                <w:bCs/>
                <w:sz w:val="22"/>
                <w:szCs w:val="22"/>
              </w:rPr>
              <w:t>1.02, 1.03, 1.04</w:t>
            </w:r>
            <w:r w:rsidR="00ED7689">
              <w:rPr>
                <w:b/>
                <w:bCs/>
                <w:sz w:val="22"/>
                <w:szCs w:val="22"/>
              </w:rPr>
              <w:t>, 1.05</w:t>
            </w:r>
          </w:p>
          <w:p w:rsidR="006B23A9" w:rsidRPr="000B468B" w:rsidRDefault="000B468B" w:rsidP="00E63DAC">
            <w:pPr>
              <w:snapToGrid w:val="0"/>
              <w:ind w:left="-108"/>
              <w:jc w:val="center"/>
              <w:rPr>
                <w:b/>
                <w:bCs/>
              </w:rPr>
            </w:pPr>
            <w:r w:rsidRPr="006B23A9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658542" cy="867205"/>
                  <wp:effectExtent l="19050" t="0" r="0" b="0"/>
                  <wp:docPr id="3" name="Рисунок 1" descr="\\SLAVA\SharedDocs\Каталог готовое\СО\СО 1.30\СО 1.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LAVA\SharedDocs\Каталог готовое\СО\СО 1.30\СО 1.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600" cy="866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C31C95" w:rsidP="000672BA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083406">
              <w:rPr>
                <w:bCs/>
                <w:sz w:val="22"/>
                <w:szCs w:val="22"/>
              </w:rPr>
              <w:t>0</w:t>
            </w:r>
            <w:r w:rsidR="00844C3A">
              <w:rPr>
                <w:bCs/>
                <w:sz w:val="22"/>
                <w:szCs w:val="22"/>
              </w:rPr>
              <w:t xml:space="preserve">; </w:t>
            </w:r>
            <w:r>
              <w:rPr>
                <w:bCs/>
                <w:sz w:val="22"/>
                <w:szCs w:val="22"/>
              </w:rPr>
              <w:t>30</w:t>
            </w:r>
            <w:r w:rsidR="00844C3A">
              <w:rPr>
                <w:bCs/>
                <w:sz w:val="22"/>
                <w:szCs w:val="22"/>
              </w:rPr>
              <w:t xml:space="preserve">0; </w:t>
            </w:r>
            <w:r>
              <w:rPr>
                <w:bCs/>
                <w:sz w:val="22"/>
                <w:szCs w:val="22"/>
              </w:rPr>
              <w:t>40</w:t>
            </w:r>
            <w:r w:rsidR="000672BA">
              <w:rPr>
                <w:bCs/>
                <w:sz w:val="22"/>
                <w:szCs w:val="22"/>
              </w:rPr>
              <w:t>0</w:t>
            </w:r>
            <w:r w:rsidR="00ED7689">
              <w:rPr>
                <w:bCs/>
                <w:sz w:val="22"/>
                <w:szCs w:val="22"/>
              </w:rPr>
              <w:t>; 500; 600</w:t>
            </w:r>
            <w:r w:rsidR="008D2C2D">
              <w:rPr>
                <w:bCs/>
                <w:sz w:val="22"/>
                <w:szCs w:val="22"/>
              </w:rPr>
              <w:t xml:space="preserve"> 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1D2FBB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FBB" w:rsidRPr="00E91D54" w:rsidRDefault="001D2FB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FBB" w:rsidRPr="00E91D54" w:rsidRDefault="001D2FB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FBB" w:rsidRPr="00E91D54" w:rsidRDefault="001D2FB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FBB" w:rsidRPr="00E91D54" w:rsidRDefault="001D2FB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FBB" w:rsidRPr="00E91D54" w:rsidRDefault="00835A39" w:rsidP="000B62C9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Ширина</w:t>
            </w:r>
            <w:r w:rsidR="00331B53">
              <w:rPr>
                <w:bCs/>
                <w:sz w:val="22"/>
                <w:szCs w:val="22"/>
              </w:rPr>
              <w:t xml:space="preserve"> (мм)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FBB" w:rsidRPr="001D2FBB" w:rsidRDefault="00D52C22" w:rsidP="001D2FBB">
            <w:pPr>
              <w:snapToGrid w:val="0"/>
              <w:jc w:val="center"/>
              <w:rPr>
                <w:bCs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>250</w:t>
            </w:r>
            <w:r w:rsidR="00331B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331B53">
              <w:rPr>
                <w:bCs/>
                <w:color w:val="000000"/>
                <w:sz w:val="22"/>
                <w:szCs w:val="22"/>
              </w:rPr>
              <w:t>(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gramEnd"/>
            <w:r w:rsidR="000B62C9" w:rsidRPr="00E91D54">
              <w:rPr>
                <w:bCs/>
                <w:color w:val="000000"/>
                <w:sz w:val="22"/>
                <w:szCs w:val="22"/>
              </w:rPr>
              <w:t>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1D2FBB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FBB" w:rsidRPr="00E91D54" w:rsidRDefault="001D2FB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FBB" w:rsidRPr="00E91D54" w:rsidRDefault="001D2FB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FBB" w:rsidRPr="00E91D54" w:rsidRDefault="001D2FB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FBB" w:rsidRPr="00E91D54" w:rsidRDefault="001D2FB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FBB" w:rsidRPr="00E94816" w:rsidRDefault="00835A39" w:rsidP="00835A39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C8B" w:rsidRPr="00257F5D" w:rsidRDefault="00E33C8B" w:rsidP="00257F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7F5D">
              <w:rPr>
                <w:color w:val="000000"/>
              </w:rPr>
              <w:t>Столбики предназначены для детей в возрасте от 3 до 10 лет. Столбики представляют собой цилин</w:t>
            </w:r>
            <w:r w:rsidRPr="00257F5D">
              <w:rPr>
                <w:color w:val="000000"/>
              </w:rPr>
              <w:t>д</w:t>
            </w:r>
            <w:r w:rsidRPr="00257F5D">
              <w:rPr>
                <w:color w:val="000000"/>
              </w:rPr>
              <w:t xml:space="preserve">рическую конструкцию </w:t>
            </w:r>
            <w:r w:rsidR="00257F5D" w:rsidRPr="00257F5D">
              <w:rPr>
                <w:color w:val="000000"/>
              </w:rPr>
              <w:t>основой,</w:t>
            </w:r>
            <w:r w:rsidRPr="00257F5D">
              <w:rPr>
                <w:color w:val="000000"/>
              </w:rPr>
              <w:t xml:space="preserve"> которой является бетонная модель, по всей площади, покрытой сл</w:t>
            </w:r>
            <w:r w:rsidRPr="00257F5D">
              <w:rPr>
                <w:color w:val="000000"/>
              </w:rPr>
              <w:t>о</w:t>
            </w:r>
            <w:r w:rsidRPr="00257F5D">
              <w:rPr>
                <w:color w:val="000000"/>
              </w:rPr>
              <w:t>ем цветной искусственной каучуковой TPV кро</w:t>
            </w:r>
            <w:r w:rsidRPr="00257F5D">
              <w:rPr>
                <w:color w:val="000000"/>
              </w:rPr>
              <w:t>ш</w:t>
            </w:r>
            <w:r w:rsidRPr="00257F5D">
              <w:rPr>
                <w:color w:val="000000"/>
              </w:rPr>
              <w:t>кой толщиной не менее 30 мм. Снизу конструкции имеется закладной элемент, который бетонируется непосредственно в грунт площадки. Глубина бет</w:t>
            </w:r>
            <w:r w:rsidRPr="00257F5D">
              <w:rPr>
                <w:color w:val="000000"/>
              </w:rPr>
              <w:t>о</w:t>
            </w:r>
            <w:r w:rsidRPr="00257F5D">
              <w:rPr>
                <w:color w:val="000000"/>
              </w:rPr>
              <w:t>нирования не менее 450 мм.</w:t>
            </w:r>
          </w:p>
          <w:p w:rsidR="00E33C8B" w:rsidRPr="00257F5D" w:rsidRDefault="00E33C8B" w:rsidP="00257F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7F5D">
              <w:rPr>
                <w:color w:val="000000"/>
              </w:rPr>
              <w:t>Резиновое покрытие изготавливается методом х</w:t>
            </w:r>
            <w:r w:rsidRPr="00257F5D">
              <w:rPr>
                <w:color w:val="000000"/>
              </w:rPr>
              <w:t>о</w:t>
            </w:r>
            <w:r w:rsidRPr="00257F5D">
              <w:rPr>
                <w:color w:val="000000"/>
              </w:rPr>
              <w:t>лодного прессования цветной искусственной ка</w:t>
            </w:r>
            <w:r w:rsidRPr="00257F5D">
              <w:rPr>
                <w:color w:val="000000"/>
              </w:rPr>
              <w:t>у</w:t>
            </w:r>
            <w:r w:rsidRPr="00257F5D">
              <w:rPr>
                <w:color w:val="000000"/>
              </w:rPr>
              <w:t>чуковой TPV крошки на клеевой основе. Токсик</w:t>
            </w:r>
            <w:r w:rsidRPr="00257F5D">
              <w:rPr>
                <w:color w:val="000000"/>
              </w:rPr>
              <w:t>о</w:t>
            </w:r>
            <w:r w:rsidRPr="00257F5D">
              <w:rPr>
                <w:color w:val="000000"/>
              </w:rPr>
              <w:t>логические свойства данного материала не прев</w:t>
            </w:r>
            <w:r w:rsidRPr="00257F5D">
              <w:rPr>
                <w:color w:val="000000"/>
              </w:rPr>
              <w:t>ы</w:t>
            </w:r>
            <w:r w:rsidRPr="00257F5D">
              <w:rPr>
                <w:color w:val="000000"/>
              </w:rPr>
              <w:t>шают норм установленных для эксплуатации на детских игровых площадках. Все грани имеют скругленную форму.</w:t>
            </w:r>
          </w:p>
          <w:p w:rsidR="00BC2B14" w:rsidRPr="00E94816" w:rsidRDefault="00BC2B14" w:rsidP="00BA587A">
            <w:pPr>
              <w:rPr>
                <w:color w:val="000000"/>
              </w:rPr>
            </w:pPr>
          </w:p>
        </w:tc>
      </w:tr>
      <w:tr w:rsidR="001D2FBB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FBB" w:rsidRPr="00E91D54" w:rsidRDefault="001D2FB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FBB" w:rsidRPr="00E91D54" w:rsidRDefault="001D2FB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FBB" w:rsidRPr="00E91D54" w:rsidRDefault="001D2FB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FBB" w:rsidRPr="00E91D54" w:rsidRDefault="001D2FB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FBB" w:rsidRPr="00E91D54" w:rsidRDefault="00D52C22" w:rsidP="00835A39">
            <w:pPr>
              <w:snapToGrid w:val="0"/>
              <w:rPr>
                <w:bCs/>
              </w:rPr>
            </w:pPr>
            <w:r>
              <w:rPr>
                <w:bCs/>
              </w:rPr>
              <w:t>Преимущества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C22" w:rsidRDefault="00D52C22" w:rsidP="00D52C2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высокая механическая прочность и износосто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кость</w:t>
            </w:r>
          </w:p>
          <w:p w:rsidR="00F86B87" w:rsidRDefault="00F86B87" w:rsidP="00D52C2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Повышенная трав</w:t>
            </w:r>
            <w:r w:rsidR="00C64D88">
              <w:rPr>
                <w:color w:val="000000"/>
              </w:rPr>
              <w:t>м</w:t>
            </w:r>
            <w:bookmarkStart w:id="4" w:name="_GoBack"/>
            <w:bookmarkEnd w:id="4"/>
            <w:r w:rsidR="00CB46DA">
              <w:rPr>
                <w:color w:val="000000"/>
              </w:rPr>
              <w:t>о</w:t>
            </w:r>
            <w:r>
              <w:rPr>
                <w:color w:val="000000"/>
              </w:rPr>
              <w:t>безопасность</w:t>
            </w:r>
          </w:p>
          <w:p w:rsidR="00D52C22" w:rsidRDefault="00D52C22" w:rsidP="00D52C2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бесшовность и гладкое соединение</w:t>
            </w:r>
          </w:p>
          <w:p w:rsidR="00D52C22" w:rsidRDefault="00D52C22" w:rsidP="00D52C2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высокая упругость (обеспечивает травмобезопа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ность детей)</w:t>
            </w:r>
          </w:p>
          <w:p w:rsidR="00D52C22" w:rsidRDefault="00D52C22" w:rsidP="00D52C2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шероховатая и противоскользящая поверхность</w:t>
            </w:r>
          </w:p>
          <w:p w:rsidR="007C783C" w:rsidRDefault="007C783C" w:rsidP="008D2C2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богатая цветовая </w:t>
            </w:r>
            <w:r w:rsidR="00BC2B14">
              <w:rPr>
                <w:color w:val="000000"/>
              </w:rPr>
              <w:t>палитра</w:t>
            </w:r>
          </w:p>
          <w:p w:rsidR="00BC2B14" w:rsidRPr="00E94816" w:rsidRDefault="00BC2B14" w:rsidP="00E86A5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легко </w:t>
            </w:r>
            <w:r w:rsidR="00E86A5A">
              <w:rPr>
                <w:color w:val="000000"/>
              </w:rPr>
              <w:t>моется напором</w:t>
            </w:r>
            <w:r>
              <w:rPr>
                <w:color w:val="000000"/>
              </w:rPr>
              <w:t xml:space="preserve"> простой вод</w:t>
            </w:r>
            <w:r w:rsidR="00E86A5A">
              <w:rPr>
                <w:color w:val="000000"/>
              </w:rPr>
              <w:t>ы</w:t>
            </w:r>
            <w:r>
              <w:rPr>
                <w:color w:val="000000"/>
              </w:rPr>
              <w:t>.</w:t>
            </w:r>
          </w:p>
        </w:tc>
      </w:tr>
      <w:tr w:rsidR="001D2FBB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FBB" w:rsidRPr="00E91D54" w:rsidRDefault="001D2FB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FBB" w:rsidRPr="00E91D54" w:rsidRDefault="001D2FB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FBB" w:rsidRPr="00E91D54" w:rsidRDefault="001D2FB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FBB" w:rsidRPr="00E91D54" w:rsidRDefault="001D2FB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FBB" w:rsidRPr="00E91D54" w:rsidRDefault="001D2FBB" w:rsidP="00835A39">
            <w:pPr>
              <w:snapToGrid w:val="0"/>
              <w:rPr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FBB" w:rsidRPr="00E94816" w:rsidRDefault="001D2FBB" w:rsidP="00497D2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C22" w:rsidRDefault="00D52C22" w:rsidP="00D74A8E">
      <w:r>
        <w:separator/>
      </w:r>
    </w:p>
  </w:endnote>
  <w:endnote w:type="continuationSeparator" w:id="1">
    <w:p w:rsidR="00D52C22" w:rsidRDefault="00D52C22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C22" w:rsidRDefault="00D52C22" w:rsidP="00D74A8E">
      <w:r>
        <w:separator/>
      </w:r>
    </w:p>
  </w:footnote>
  <w:footnote w:type="continuationSeparator" w:id="1">
    <w:p w:rsidR="00D52C22" w:rsidRDefault="00D52C22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2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26923"/>
    <w:rsid w:val="00035CE8"/>
    <w:rsid w:val="00044805"/>
    <w:rsid w:val="000570CD"/>
    <w:rsid w:val="00057670"/>
    <w:rsid w:val="000672BA"/>
    <w:rsid w:val="00077688"/>
    <w:rsid w:val="00082560"/>
    <w:rsid w:val="00083406"/>
    <w:rsid w:val="00090BC4"/>
    <w:rsid w:val="00093104"/>
    <w:rsid w:val="00095A22"/>
    <w:rsid w:val="000B1711"/>
    <w:rsid w:val="000B1DDD"/>
    <w:rsid w:val="000B28A5"/>
    <w:rsid w:val="000B468B"/>
    <w:rsid w:val="000B62C9"/>
    <w:rsid w:val="000B6783"/>
    <w:rsid w:val="000D5829"/>
    <w:rsid w:val="000E1093"/>
    <w:rsid w:val="000E5953"/>
    <w:rsid w:val="0010412D"/>
    <w:rsid w:val="00126692"/>
    <w:rsid w:val="0013027A"/>
    <w:rsid w:val="00130ABC"/>
    <w:rsid w:val="0013684F"/>
    <w:rsid w:val="001427EC"/>
    <w:rsid w:val="0016012C"/>
    <w:rsid w:val="00167D9F"/>
    <w:rsid w:val="00172795"/>
    <w:rsid w:val="0018081B"/>
    <w:rsid w:val="00183F5E"/>
    <w:rsid w:val="001911A3"/>
    <w:rsid w:val="00191FCF"/>
    <w:rsid w:val="001931E4"/>
    <w:rsid w:val="00196E1D"/>
    <w:rsid w:val="00197831"/>
    <w:rsid w:val="001A0D1C"/>
    <w:rsid w:val="001B2328"/>
    <w:rsid w:val="001B6E7C"/>
    <w:rsid w:val="001C0B7C"/>
    <w:rsid w:val="001C52DA"/>
    <w:rsid w:val="001C654E"/>
    <w:rsid w:val="001C776E"/>
    <w:rsid w:val="001D2FBB"/>
    <w:rsid w:val="001D6388"/>
    <w:rsid w:val="001E208B"/>
    <w:rsid w:val="001E377B"/>
    <w:rsid w:val="001E4BA1"/>
    <w:rsid w:val="001F20B0"/>
    <w:rsid w:val="00200BAB"/>
    <w:rsid w:val="002066BB"/>
    <w:rsid w:val="00213697"/>
    <w:rsid w:val="00213881"/>
    <w:rsid w:val="00213F09"/>
    <w:rsid w:val="0021525A"/>
    <w:rsid w:val="00220352"/>
    <w:rsid w:val="0022573B"/>
    <w:rsid w:val="0023335C"/>
    <w:rsid w:val="00235276"/>
    <w:rsid w:val="00243ABF"/>
    <w:rsid w:val="00245FBA"/>
    <w:rsid w:val="00252241"/>
    <w:rsid w:val="00257F5D"/>
    <w:rsid w:val="00260843"/>
    <w:rsid w:val="0026620D"/>
    <w:rsid w:val="00276AED"/>
    <w:rsid w:val="00276F3A"/>
    <w:rsid w:val="00277529"/>
    <w:rsid w:val="002811ED"/>
    <w:rsid w:val="002A59EB"/>
    <w:rsid w:val="002A7D84"/>
    <w:rsid w:val="002B077B"/>
    <w:rsid w:val="002B3A2F"/>
    <w:rsid w:val="002B5056"/>
    <w:rsid w:val="002B617E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31B53"/>
    <w:rsid w:val="00343C23"/>
    <w:rsid w:val="003502BE"/>
    <w:rsid w:val="003539A2"/>
    <w:rsid w:val="00365C65"/>
    <w:rsid w:val="00367F14"/>
    <w:rsid w:val="00373721"/>
    <w:rsid w:val="00384EFF"/>
    <w:rsid w:val="00394088"/>
    <w:rsid w:val="003A4336"/>
    <w:rsid w:val="003A58C7"/>
    <w:rsid w:val="003A5B25"/>
    <w:rsid w:val="003C04F2"/>
    <w:rsid w:val="003C6543"/>
    <w:rsid w:val="003C7905"/>
    <w:rsid w:val="003D4EB7"/>
    <w:rsid w:val="003E686B"/>
    <w:rsid w:val="004023F9"/>
    <w:rsid w:val="00410CA6"/>
    <w:rsid w:val="004138EB"/>
    <w:rsid w:val="00415373"/>
    <w:rsid w:val="00417189"/>
    <w:rsid w:val="0042201F"/>
    <w:rsid w:val="00425BB4"/>
    <w:rsid w:val="00436CA6"/>
    <w:rsid w:val="0043745F"/>
    <w:rsid w:val="00440CA5"/>
    <w:rsid w:val="0044532E"/>
    <w:rsid w:val="0044679E"/>
    <w:rsid w:val="004472FB"/>
    <w:rsid w:val="00460F84"/>
    <w:rsid w:val="00470F4A"/>
    <w:rsid w:val="00480C43"/>
    <w:rsid w:val="004814D0"/>
    <w:rsid w:val="00497D29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935"/>
    <w:rsid w:val="00536BCF"/>
    <w:rsid w:val="00552F34"/>
    <w:rsid w:val="00587525"/>
    <w:rsid w:val="005A2579"/>
    <w:rsid w:val="005A6F1C"/>
    <w:rsid w:val="005B12B0"/>
    <w:rsid w:val="005B3EEF"/>
    <w:rsid w:val="005B7DA4"/>
    <w:rsid w:val="005C1079"/>
    <w:rsid w:val="005D328F"/>
    <w:rsid w:val="005E13BB"/>
    <w:rsid w:val="005E54D6"/>
    <w:rsid w:val="005F2EA7"/>
    <w:rsid w:val="00606B14"/>
    <w:rsid w:val="00643222"/>
    <w:rsid w:val="00645099"/>
    <w:rsid w:val="006473A2"/>
    <w:rsid w:val="006556FC"/>
    <w:rsid w:val="00656F87"/>
    <w:rsid w:val="006622AE"/>
    <w:rsid w:val="00666A3E"/>
    <w:rsid w:val="0067772F"/>
    <w:rsid w:val="00683143"/>
    <w:rsid w:val="00683773"/>
    <w:rsid w:val="006861C9"/>
    <w:rsid w:val="00697BA8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63F9"/>
    <w:rsid w:val="007176D4"/>
    <w:rsid w:val="007245D3"/>
    <w:rsid w:val="00724DC1"/>
    <w:rsid w:val="00725A35"/>
    <w:rsid w:val="00725E84"/>
    <w:rsid w:val="0072773B"/>
    <w:rsid w:val="00731323"/>
    <w:rsid w:val="00744238"/>
    <w:rsid w:val="00746890"/>
    <w:rsid w:val="007512AC"/>
    <w:rsid w:val="007521BF"/>
    <w:rsid w:val="00755C51"/>
    <w:rsid w:val="0075627B"/>
    <w:rsid w:val="00782FE1"/>
    <w:rsid w:val="00783E1B"/>
    <w:rsid w:val="0079705E"/>
    <w:rsid w:val="007A1E5D"/>
    <w:rsid w:val="007A2CC9"/>
    <w:rsid w:val="007A6D59"/>
    <w:rsid w:val="007B22E2"/>
    <w:rsid w:val="007B5789"/>
    <w:rsid w:val="007C3A04"/>
    <w:rsid w:val="007C783C"/>
    <w:rsid w:val="007E1BD5"/>
    <w:rsid w:val="007F53EE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2EBE"/>
    <w:rsid w:val="00835A39"/>
    <w:rsid w:val="0083729E"/>
    <w:rsid w:val="00843BC8"/>
    <w:rsid w:val="00844C3A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421"/>
    <w:rsid w:val="008A4AFA"/>
    <w:rsid w:val="008A521D"/>
    <w:rsid w:val="008A568C"/>
    <w:rsid w:val="008A6AD4"/>
    <w:rsid w:val="008B3C88"/>
    <w:rsid w:val="008B5346"/>
    <w:rsid w:val="008B7AD6"/>
    <w:rsid w:val="008D2C2D"/>
    <w:rsid w:val="008D2EE7"/>
    <w:rsid w:val="008D59EC"/>
    <w:rsid w:val="008E1BE9"/>
    <w:rsid w:val="008E6E0F"/>
    <w:rsid w:val="008F2D8C"/>
    <w:rsid w:val="00906BF7"/>
    <w:rsid w:val="009179E3"/>
    <w:rsid w:val="00922E81"/>
    <w:rsid w:val="009233E1"/>
    <w:rsid w:val="0092546B"/>
    <w:rsid w:val="00934641"/>
    <w:rsid w:val="00935725"/>
    <w:rsid w:val="009513B3"/>
    <w:rsid w:val="00951A2A"/>
    <w:rsid w:val="00954C80"/>
    <w:rsid w:val="00975D88"/>
    <w:rsid w:val="00976C3C"/>
    <w:rsid w:val="009775B5"/>
    <w:rsid w:val="00980626"/>
    <w:rsid w:val="00984E47"/>
    <w:rsid w:val="0099215D"/>
    <w:rsid w:val="00993F91"/>
    <w:rsid w:val="00997FA2"/>
    <w:rsid w:val="009A5DA6"/>
    <w:rsid w:val="009B2E81"/>
    <w:rsid w:val="009B3D19"/>
    <w:rsid w:val="009C27D1"/>
    <w:rsid w:val="009E0BFF"/>
    <w:rsid w:val="009E6E1A"/>
    <w:rsid w:val="009F0B1D"/>
    <w:rsid w:val="009F2C45"/>
    <w:rsid w:val="00A02057"/>
    <w:rsid w:val="00A07982"/>
    <w:rsid w:val="00A127B6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2393"/>
    <w:rsid w:val="00A87AE0"/>
    <w:rsid w:val="00A87E44"/>
    <w:rsid w:val="00A91B6B"/>
    <w:rsid w:val="00A9676E"/>
    <w:rsid w:val="00A971E9"/>
    <w:rsid w:val="00AA3B7B"/>
    <w:rsid w:val="00AD234F"/>
    <w:rsid w:val="00AE549B"/>
    <w:rsid w:val="00AF0B6C"/>
    <w:rsid w:val="00AF0BE6"/>
    <w:rsid w:val="00B018A4"/>
    <w:rsid w:val="00B1293E"/>
    <w:rsid w:val="00B3681A"/>
    <w:rsid w:val="00B450A3"/>
    <w:rsid w:val="00B5498E"/>
    <w:rsid w:val="00B5538D"/>
    <w:rsid w:val="00B645C7"/>
    <w:rsid w:val="00B66D75"/>
    <w:rsid w:val="00B801C4"/>
    <w:rsid w:val="00B82976"/>
    <w:rsid w:val="00B85DE3"/>
    <w:rsid w:val="00B871AF"/>
    <w:rsid w:val="00B8786D"/>
    <w:rsid w:val="00B87C70"/>
    <w:rsid w:val="00B93E47"/>
    <w:rsid w:val="00BA0930"/>
    <w:rsid w:val="00BA587A"/>
    <w:rsid w:val="00BC2B14"/>
    <w:rsid w:val="00BC54DF"/>
    <w:rsid w:val="00BD25F2"/>
    <w:rsid w:val="00BD3742"/>
    <w:rsid w:val="00BD4C5F"/>
    <w:rsid w:val="00BD7586"/>
    <w:rsid w:val="00BD7BC1"/>
    <w:rsid w:val="00BE4E54"/>
    <w:rsid w:val="00BE64B0"/>
    <w:rsid w:val="00BF0D13"/>
    <w:rsid w:val="00BF28A0"/>
    <w:rsid w:val="00BF5357"/>
    <w:rsid w:val="00C00E65"/>
    <w:rsid w:val="00C0159A"/>
    <w:rsid w:val="00C16527"/>
    <w:rsid w:val="00C21661"/>
    <w:rsid w:val="00C243A7"/>
    <w:rsid w:val="00C25A50"/>
    <w:rsid w:val="00C31C95"/>
    <w:rsid w:val="00C339CE"/>
    <w:rsid w:val="00C36099"/>
    <w:rsid w:val="00C43AB2"/>
    <w:rsid w:val="00C45CDA"/>
    <w:rsid w:val="00C527B6"/>
    <w:rsid w:val="00C637C2"/>
    <w:rsid w:val="00C64D88"/>
    <w:rsid w:val="00C6756E"/>
    <w:rsid w:val="00C734B2"/>
    <w:rsid w:val="00C80FD5"/>
    <w:rsid w:val="00C84F20"/>
    <w:rsid w:val="00C86743"/>
    <w:rsid w:val="00C9067B"/>
    <w:rsid w:val="00CA6039"/>
    <w:rsid w:val="00CB46DA"/>
    <w:rsid w:val="00CC31D3"/>
    <w:rsid w:val="00CC4A8A"/>
    <w:rsid w:val="00CC5808"/>
    <w:rsid w:val="00CD24E8"/>
    <w:rsid w:val="00CD2A2B"/>
    <w:rsid w:val="00CD722F"/>
    <w:rsid w:val="00CF67EC"/>
    <w:rsid w:val="00D038EB"/>
    <w:rsid w:val="00D117CF"/>
    <w:rsid w:val="00D20C9B"/>
    <w:rsid w:val="00D21215"/>
    <w:rsid w:val="00D24D25"/>
    <w:rsid w:val="00D375C7"/>
    <w:rsid w:val="00D42208"/>
    <w:rsid w:val="00D52C22"/>
    <w:rsid w:val="00D64CDA"/>
    <w:rsid w:val="00D737F5"/>
    <w:rsid w:val="00D74A8E"/>
    <w:rsid w:val="00D80945"/>
    <w:rsid w:val="00D841EF"/>
    <w:rsid w:val="00D86144"/>
    <w:rsid w:val="00D964E6"/>
    <w:rsid w:val="00DA053B"/>
    <w:rsid w:val="00DA16BC"/>
    <w:rsid w:val="00DA27E4"/>
    <w:rsid w:val="00DB7D49"/>
    <w:rsid w:val="00DD082F"/>
    <w:rsid w:val="00DD4FA2"/>
    <w:rsid w:val="00DE428E"/>
    <w:rsid w:val="00DE5308"/>
    <w:rsid w:val="00DE7429"/>
    <w:rsid w:val="00DF7E3D"/>
    <w:rsid w:val="00DF7FE9"/>
    <w:rsid w:val="00E017DC"/>
    <w:rsid w:val="00E05C5F"/>
    <w:rsid w:val="00E0677E"/>
    <w:rsid w:val="00E126B5"/>
    <w:rsid w:val="00E15A44"/>
    <w:rsid w:val="00E1681E"/>
    <w:rsid w:val="00E24816"/>
    <w:rsid w:val="00E253CD"/>
    <w:rsid w:val="00E27A3D"/>
    <w:rsid w:val="00E33C8B"/>
    <w:rsid w:val="00E379DC"/>
    <w:rsid w:val="00E37A07"/>
    <w:rsid w:val="00E42433"/>
    <w:rsid w:val="00E50BF2"/>
    <w:rsid w:val="00E53066"/>
    <w:rsid w:val="00E53B75"/>
    <w:rsid w:val="00E557C9"/>
    <w:rsid w:val="00E63DAC"/>
    <w:rsid w:val="00E75218"/>
    <w:rsid w:val="00E828F4"/>
    <w:rsid w:val="00E843F7"/>
    <w:rsid w:val="00E86A5A"/>
    <w:rsid w:val="00E91D54"/>
    <w:rsid w:val="00E938B0"/>
    <w:rsid w:val="00EA241A"/>
    <w:rsid w:val="00EA4DC1"/>
    <w:rsid w:val="00EC460A"/>
    <w:rsid w:val="00ED01C9"/>
    <w:rsid w:val="00ED3A84"/>
    <w:rsid w:val="00ED7689"/>
    <w:rsid w:val="00EE239D"/>
    <w:rsid w:val="00F01295"/>
    <w:rsid w:val="00F1353F"/>
    <w:rsid w:val="00F17BCF"/>
    <w:rsid w:val="00F2492D"/>
    <w:rsid w:val="00F2715F"/>
    <w:rsid w:val="00F3147B"/>
    <w:rsid w:val="00F51622"/>
    <w:rsid w:val="00F550CB"/>
    <w:rsid w:val="00F72115"/>
    <w:rsid w:val="00F86B87"/>
    <w:rsid w:val="00F936DE"/>
    <w:rsid w:val="00FA1728"/>
    <w:rsid w:val="00FA20D5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  <w:rsid w:val="00FF5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A783D-0B6A-48E8-BE6D-2F7AD3B1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21</cp:revision>
  <cp:lastPrinted>2011-05-31T12:13:00Z</cp:lastPrinted>
  <dcterms:created xsi:type="dcterms:W3CDTF">2014-03-06T16:41:00Z</dcterms:created>
  <dcterms:modified xsi:type="dcterms:W3CDTF">2015-01-09T06:14:00Z</dcterms:modified>
</cp:coreProperties>
</file>